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jc w:val="center"/>
        <w:rPr>
          <w:rFonts w:hint="eastAsia" w:ascii="宋体" w:hAnsi="宋体"/>
          <w:b/>
          <w:sz w:val="44"/>
          <w:szCs w:val="44"/>
        </w:rPr>
      </w:pPr>
      <w:r>
        <w:rPr>
          <w:rFonts w:ascii="Calibri" w:hAnsi="Calibri" w:eastAsia="宋体" w:cs="黑体"/>
          <w:kern w:val="2"/>
          <w:sz w:val="21"/>
          <w:szCs w:val="22"/>
          <w:lang w:val="zh-CN" w:eastAsia="zh-CN" w:bidi="ar-SA"/>
        </w:rPr>
        <w:pict>
          <v:shape id="WordArt: Plain Text 10" o:spid="_x0000_s1026" o:spt="136" type="#_x0000_t136" style="position:absolute;left:0pt;margin-left:-26.75pt;margin-top:20.75pt;height:72pt;width:471.75pt;z-index:251658240;mso-width-relative:page;mso-height-relative:page;" fillcolor="#FF0000" filled="t" stroked="t" coordsize="21600,21600" adj="10800">
            <v:path/>
            <v:fill on="t" focussize="0,0"/>
            <v:stroke color="#FF0000"/>
            <v:imagedata o:title=""/>
            <o:lock v:ext="edit" aspectratio="f"/>
            <v:textpath on="t" fitshape="t" fitpath="t" trim="t" xscale="f" string="共青团黑龙江省森林工业总局委员会文件" style="font-family:方正小标宋简体;font-size:36pt;v-text-align:center;"/>
          </v:shape>
        </w:pict>
      </w:r>
    </w:p>
    <w:p>
      <w:pPr>
        <w:pStyle w:val="6"/>
        <w:jc w:val="center"/>
        <w:rPr>
          <w:rFonts w:hint="eastAsia" w:ascii="宋体" w:hAnsi="宋体"/>
          <w:b/>
          <w:sz w:val="44"/>
          <w:szCs w:val="44"/>
        </w:rPr>
      </w:pPr>
    </w:p>
    <w:p>
      <w:pPr>
        <w:pStyle w:val="6"/>
        <w:jc w:val="both"/>
        <w:rPr>
          <w:rFonts w:hint="eastAsia" w:ascii="宋体" w:hAnsi="宋体"/>
          <w:b/>
          <w:sz w:val="44"/>
          <w:szCs w:val="44"/>
        </w:rPr>
      </w:pPr>
    </w:p>
    <w:p>
      <w:pPr>
        <w:pStyle w:val="6"/>
        <w:jc w:val="both"/>
        <w:rPr>
          <w:rFonts w:hint="eastAsia" w:ascii="宋体" w:hAnsi="宋体"/>
          <w:b/>
          <w:sz w:val="21"/>
          <w:szCs w:val="21"/>
        </w:rPr>
      </w:pPr>
    </w:p>
    <w:p>
      <w:pPr>
        <w:pStyle w:val="6"/>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bCs/>
          <w:sz w:val="32"/>
          <w:szCs w:val="44"/>
        </w:rPr>
      </w:pPr>
      <w:r>
        <w:rPr>
          <w:rFonts w:hint="eastAsia" w:ascii="仿宋_GB2312" w:hAnsi="仿宋_GB2312" w:eastAsia="仿宋_GB2312"/>
          <w:bCs/>
          <w:sz w:val="32"/>
          <w:szCs w:val="44"/>
        </w:rPr>
        <w:t>黑森青发[2016]</w:t>
      </w:r>
      <w:r>
        <w:rPr>
          <w:rFonts w:hint="eastAsia" w:ascii="仿宋_GB2312" w:hAnsi="仿宋_GB2312" w:eastAsia="仿宋_GB2312"/>
          <w:bCs/>
          <w:sz w:val="32"/>
          <w:szCs w:val="44"/>
          <w:lang w:val="en-US" w:eastAsia="zh-CN"/>
        </w:rPr>
        <w:t>4</w:t>
      </w:r>
      <w:r>
        <w:rPr>
          <w:rFonts w:hint="eastAsia" w:ascii="仿宋_GB2312" w:hAnsi="仿宋_GB2312" w:eastAsia="仿宋_GB2312"/>
          <w:bCs/>
          <w:sz w:val="32"/>
          <w:szCs w:val="44"/>
        </w:rPr>
        <w:t>号</w:t>
      </w:r>
    </w:p>
    <w:p>
      <w:pPr>
        <w:pStyle w:val="6"/>
        <w:widowControl w:val="0"/>
        <w:wordWrap/>
        <w:adjustRightInd/>
        <w:snapToGrid/>
        <w:spacing w:before="361" w:beforeLines="100" w:after="240" w:line="240" w:lineRule="auto"/>
        <w:ind w:left="0" w:leftChars="0" w:right="0" w:firstLine="0" w:firstLineChars="0"/>
        <w:jc w:val="center"/>
        <w:textAlignment w:val="auto"/>
        <w:outlineLvl w:val="9"/>
        <w:rPr>
          <w:rFonts w:hint="eastAsia" w:ascii="仿宋_GB2312" w:hAnsi="仿宋_GB2312" w:eastAsia="仿宋_GB2312"/>
          <w:bCs/>
          <w:sz w:val="21"/>
          <w:szCs w:val="21"/>
        </w:rPr>
      </w:pPr>
      <w:r>
        <w:rPr>
          <w:rFonts w:hint="eastAsia" w:ascii="黑体" w:hAnsi="Calibri" w:eastAsia="黑体" w:cs="黑体"/>
          <w:kern w:val="2"/>
          <w:sz w:val="44"/>
          <w:szCs w:val="44"/>
          <w:lang w:val="zh-CN" w:eastAsia="zh-CN" w:bidi="ar-SA"/>
        </w:rPr>
        <mc:AlternateContent>
          <mc:Choice Requires="wpg">
            <w:drawing>
              <wp:anchor distT="0" distB="0" distL="114300" distR="114300" simplePos="0" relativeHeight="251659264" behindDoc="0" locked="0" layoutInCell="1" allowOverlap="1">
                <wp:simplePos x="0" y="0"/>
                <wp:positionH relativeFrom="column">
                  <wp:posOffset>2545715</wp:posOffset>
                </wp:positionH>
                <wp:positionV relativeFrom="paragraph">
                  <wp:posOffset>147955</wp:posOffset>
                </wp:positionV>
                <wp:extent cx="247650" cy="260985"/>
                <wp:effectExtent l="14605" t="15240" r="23495" b="9525"/>
                <wp:wrapNone/>
                <wp:docPr id="5" name="组合 10"/>
                <wp:cNvGraphicFramePr/>
                <a:graphic xmlns:a="http://schemas.openxmlformats.org/drawingml/2006/main">
                  <a:graphicData uri="http://schemas.microsoft.com/office/word/2010/wordprocessingGroup">
                    <wpg:wgp>
                      <wpg:cNvGrpSpPr/>
                      <wpg:grpSpPr>
                        <a:xfrm>
                          <a:off x="0" y="0"/>
                          <a:ext cx="247650" cy="260985"/>
                          <a:chOff x="0" y="0"/>
                          <a:chExt cx="390" cy="411"/>
                        </a:xfrm>
                      </wpg:grpSpPr>
                      <wps:wsp>
                        <wps:cNvPr id="3" name="椭圆 8"/>
                        <wps:cNvSpPr/>
                        <wps:spPr>
                          <a:xfrm>
                            <a:off x="0" y="0"/>
                            <a:ext cx="390" cy="411"/>
                          </a:xfrm>
                          <a:prstGeom prst="ellipse">
                            <a:avLst/>
                          </a:prstGeom>
                          <a:noFill/>
                          <a:ln w="19050" cap="flat" cmpd="sng">
                            <a:solidFill>
                              <a:srgbClr val="FF0000"/>
                            </a:solidFill>
                            <a:prstDash val="solid"/>
                            <a:headEnd type="none" w="med" len="med"/>
                            <a:tailEnd type="none" w="med" len="med"/>
                          </a:ln>
                        </wps:spPr>
                        <wps:bodyPr upright="1"/>
                      </wps:wsp>
                      <wps:wsp>
                        <wps:cNvPr id="4" name="五角星 9"/>
                        <wps:cNvSpPr/>
                        <wps:spPr>
                          <a:xfrm>
                            <a:off x="0" y="0"/>
                            <a:ext cx="390" cy="371"/>
                          </a:xfrm>
                          <a:prstGeom prst="star5">
                            <a:avLst/>
                          </a:prstGeom>
                          <a:solidFill>
                            <a:srgbClr val="FF0000"/>
                          </a:solidFill>
                          <a:ln w="9525" cap="flat" cmpd="sng">
                            <a:solidFill>
                              <a:srgbClr val="FF0000"/>
                            </a:solidFill>
                            <a:prstDash val="solid"/>
                            <a:miter/>
                            <a:headEnd type="none" w="med" len="med"/>
                            <a:tailEnd type="none" w="med" len="med"/>
                          </a:ln>
                        </wps:spPr>
                        <wps:bodyPr upright="1"/>
                      </wps:wsp>
                    </wpg:wgp>
                  </a:graphicData>
                </a:graphic>
              </wp:anchor>
            </w:drawing>
          </mc:Choice>
          <mc:Fallback>
            <w:pict>
              <v:group id="组合 10" o:spid="_x0000_s1026" o:spt="203" style="position:absolute;left:0pt;margin-left:200.45pt;margin-top:11.65pt;height:20.55pt;width:19.5pt;z-index:251659264;mso-width-relative:page;mso-height-relative:page;" coordsize="390,411" o:gfxdata="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IDuqtkAAAAJAQAADwAAAAAAAAABACAAAAAiAAAAZHJzL2Rvd25yZXYueG1sUEsB&#10;AhQAFAAAAAgAh07iQCnmk6VmAgAA2wYAAA4AAAAAAAAAAQAgAAAAKAEAAGRycy9lMm9Eb2MueG1s&#10;UEsFBgAAAAAGAAYAWQEAAAAGAAAAAA==&#10;">
                <o:lock v:ext="edit" aspectratio="f"/>
                <v:shape id="椭圆 8" o:spid="_x0000_s1026" o:spt="3" type="#_x0000_t3" style="position:absolute;left:0;top:0;height:411;width:390;" filled="f" stroked="t" coordsize="21600,21600" o:gfxdata="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DMGy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shape>
                <v:shape id="五角星 9" o:spid="_x0000_s1026" style="position:absolute;left:0;top:0;height:371;width:390;" fillcolor="#FF0000" filled="t" stroked="t" coordsize="390,371" o:gfxdata="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V4fq8AAAA&#10;2gAAAA8AAAAAAAAAAQAgAAAAIgAAAGRycy9kb3ducmV2LnhtbFBLAQIUABQAAAAIAIdO4kAzLwWe&#10;OwAAADkAAAAQAAAAAAAAAAEAIAAAAAsBAABkcnMvc2hhcGV4bWwueG1sUEsFBgAAAAAGAAYAWwEA&#10;ALUDAAAAAA==&#10;" path="m0,141l148,141,195,0,241,141,389,141,269,229,315,370,195,283,74,370,120,229xe">
                  <v:path o:connectlocs="195,0;0,141;74,370;315,370;389,141" o:connectangles="16200000,10800000,5400000,5400000,0"/>
                  <v:fill on="t" focussize="0,0"/>
                  <v:stroke color="#FF0000" joinstyle="miter"/>
                  <v:imagedata o:title=""/>
                  <o:lock v:ext="edit" aspectratio="f"/>
                </v:shape>
              </v:group>
            </w:pict>
          </mc:Fallback>
        </mc:AlternateContent>
      </w:r>
      <w:r>
        <w:rPr>
          <w:rFonts w:hint="eastAsia" w:ascii="黑体" w:hAnsi="Calibri" w:eastAsia="黑体" w:cs="黑体"/>
          <w:kern w:val="2"/>
          <w:sz w:val="44"/>
          <w:szCs w:val="44"/>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2850515</wp:posOffset>
                </wp:positionH>
                <wp:positionV relativeFrom="paragraph">
                  <wp:posOffset>266065</wp:posOffset>
                </wp:positionV>
                <wp:extent cx="2781300" cy="635"/>
                <wp:effectExtent l="0" t="0" r="0" b="0"/>
                <wp:wrapNone/>
                <wp:docPr id="1" name="直接连接符 11"/>
                <wp:cNvGraphicFramePr/>
                <a:graphic xmlns:a="http://schemas.openxmlformats.org/drawingml/2006/main">
                  <a:graphicData uri="http://schemas.microsoft.com/office/word/2010/wordprocessingShape">
                    <wps:wsp>
                      <wps:cNvCnPr/>
                      <wps:spPr>
                        <a:xfrm>
                          <a:off x="0" y="0"/>
                          <a:ext cx="27813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接连接符 11" o:spid="_x0000_s1026" o:spt="20" style="position:absolute;left:0pt;margin-left:224.45pt;margin-top:20.95pt;height:0.05pt;width:219pt;z-index:251660288;mso-width-relative:page;mso-height-relative:page;" filled="f" stroked="t" coordsize="21600,21600" o:gfxdata="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4aUWbYAAAACQEAAA8A&#10;AAAAAAAAAQAgAAAAIgAAAGRycy9kb3ducmV2LnhtbFBLAQIUABQAAAAIAIdO4kA+aPAT3gEAAJoD&#10;AAAOAAAAAAAAAAEAIAAAACcBAABkcnMvZTJvRG9jLnhtbFBLBQYAAAAABgAGAFkBAAB3BQAAAAA=&#10;">
                <v:fill on="f" focussize="0,0"/>
                <v:stroke weight="1.5pt" color="#FF0000" joinstyle="round"/>
                <v:imagedata o:title=""/>
                <o:lock v:ext="edit" aspectratio="f"/>
              </v:line>
            </w:pict>
          </mc:Fallback>
        </mc:AlternateContent>
      </w:r>
      <w:r>
        <w:rPr>
          <w:rFonts w:hint="eastAsia" w:ascii="黑体" w:hAnsi="Calibri" w:eastAsia="黑体" w:cs="黑体"/>
          <w:kern w:val="2"/>
          <w:sz w:val="44"/>
          <w:szCs w:val="44"/>
          <w:lang w:val="zh-CN" w:eastAsia="zh-CN" w:bidi="ar-SA"/>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266065</wp:posOffset>
                </wp:positionV>
                <wp:extent cx="2781300" cy="635"/>
                <wp:effectExtent l="0" t="0" r="0" b="0"/>
                <wp:wrapNone/>
                <wp:docPr id="2" name="直接连接符 12"/>
                <wp:cNvGraphicFramePr/>
                <a:graphic xmlns:a="http://schemas.openxmlformats.org/drawingml/2006/main">
                  <a:graphicData uri="http://schemas.microsoft.com/office/word/2010/wordprocessingShape">
                    <wps:wsp>
                      <wps:cNvCnPr/>
                      <wps:spPr>
                        <a:xfrm>
                          <a:off x="0" y="0"/>
                          <a:ext cx="27813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接连接符 12" o:spid="_x0000_s1026" o:spt="20" style="position:absolute;left:0pt;margin-left:-25.3pt;margin-top:20.95pt;height:0.05pt;width:219pt;z-index:251661312;mso-width-relative:page;mso-height-relative:page;" filled="f" stroked="t" coordsize="21600,21600" o:gfxdata="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SnNXNoAAAAJAQAA&#10;DwAAAAAAAAABACAAAAAiAAAAZHJzL2Rvd25yZXYueG1sUEsBAhQAFAAAAAgAh07iQKghCereAQAA&#10;mgMAAA4AAAAAAAAAAQAgAAAAKQEAAGRycy9lMm9Eb2MueG1sUEsFBgAAAAAGAAYAWQEAAHkFAAAA&#10;AA==&#10;">
                <v:fill on="f" focussize="0,0"/>
                <v:stroke weight="1.5pt" color="#FF0000" joinstyle="round"/>
                <v:imagedata o:title=""/>
                <o:lock v:ext="edit" aspectratio="f"/>
              </v:line>
            </w:pict>
          </mc:Fallback>
        </mc:AlternateContent>
      </w:r>
    </w:p>
    <w:p>
      <w:pPr>
        <w:pStyle w:val="6"/>
        <w:jc w:val="center"/>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关于转发黑龙江省少工委</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val="en-US" w:eastAsia="zh-CN"/>
        </w:rPr>
        <w:t>2016年工作要点的通知</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left="0" w:leftChars="0" w:right="0" w:rightChars="0" w:firstLine="0" w:firstLine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left="0" w:leftChars="0" w:right="0" w:rightChars="0" w:firstLine="0" w:firstLineChars="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牡丹江、松花江、合江林管局及所属林业局团委</w:t>
      </w:r>
      <w:r>
        <w:rPr>
          <w:rFonts w:hint="eastAsia" w:ascii="仿宋_GB2312" w:eastAsia="仿宋_GB2312" w:cs="黑体"/>
          <w:kern w:val="2"/>
          <w:sz w:val="32"/>
          <w:szCs w:val="32"/>
          <w:lang w:val="en-US" w:eastAsia="zh-CN" w:bidi="ar-SA"/>
        </w:rPr>
        <w:t>、少工委</w:t>
      </w:r>
      <w:r>
        <w:rPr>
          <w:rFonts w:hint="eastAsia" w:ascii="仿宋_GB2312" w:hAnsi="Calibri" w:eastAsia="仿宋_GB2312" w:cs="黑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left="0" w:leftChars="0" w:right="0" w:rightChars="0" w:firstLine="640" w:firstLineChars="20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现将《2016年</w:t>
      </w:r>
      <w:r>
        <w:rPr>
          <w:rFonts w:hint="eastAsia" w:ascii="仿宋_GB2312" w:eastAsia="仿宋_GB2312" w:cs="黑体"/>
          <w:kern w:val="2"/>
          <w:sz w:val="32"/>
          <w:szCs w:val="32"/>
          <w:lang w:val="en-US" w:eastAsia="zh-CN" w:bidi="ar-SA"/>
        </w:rPr>
        <w:t>黑龙江</w:t>
      </w:r>
      <w:r>
        <w:rPr>
          <w:rFonts w:hint="eastAsia" w:ascii="仿宋_GB2312" w:hAnsi="Calibri" w:eastAsia="仿宋_GB2312" w:cs="黑体"/>
          <w:kern w:val="2"/>
          <w:sz w:val="32"/>
          <w:szCs w:val="32"/>
          <w:lang w:val="en-US" w:eastAsia="zh-CN" w:bidi="ar-SA"/>
        </w:rPr>
        <w:t>省少工委工作要点》转发给你们，</w:t>
      </w:r>
      <w:r>
        <w:rPr>
          <w:rFonts w:hint="eastAsia" w:ascii="仿宋_GB2312" w:eastAsia="仿宋_GB2312" w:cs="黑体"/>
          <w:kern w:val="2"/>
          <w:sz w:val="32"/>
          <w:szCs w:val="32"/>
          <w:lang w:val="en-US" w:eastAsia="zh-CN" w:bidi="ar-SA"/>
        </w:rPr>
        <w:t>请结合自身实际，认真抓好贯彻落实</w:t>
      </w:r>
      <w:r>
        <w:rPr>
          <w:rFonts w:hint="eastAsia" w:ascii="仿宋_GB2312" w:hAnsi="Calibri" w:eastAsia="仿宋_GB2312" w:cs="黑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right="0" w:rightChars="0"/>
        <w:jc w:val="left"/>
        <w:textAlignment w:val="auto"/>
        <w:outlineLvl w:val="9"/>
        <w:rPr>
          <w:rFonts w:hint="eastAsia" w:ascii="仿宋_GB2312" w:hAnsi="Calibri" w:eastAsia="仿宋_GB2312" w:cs="黑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right="0" w:rightChars="0"/>
        <w:jc w:val="left"/>
        <w:textAlignment w:val="auto"/>
        <w:outlineLvl w:val="9"/>
        <w:rPr>
          <w:rFonts w:hint="eastAsia" w:ascii="仿宋_GB2312" w:hAnsi="Calibri" w:eastAsia="仿宋_GB2312" w:cs="黑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left="0" w:leftChars="0" w:right="0" w:rightChars="0" w:firstLine="640" w:firstLineChars="200"/>
        <w:jc w:val="left"/>
        <w:textAlignment w:val="auto"/>
        <w:outlineLvl w:val="9"/>
        <w:rPr>
          <w:rFonts w:hint="eastAsia" w:ascii="仿宋_GB2312" w:hAnsi="Calibri" w:eastAsia="仿宋_GB2312" w:cs="黑体"/>
          <w:kern w:val="2"/>
          <w:sz w:val="21"/>
          <w:szCs w:val="21"/>
          <w:lang w:val="en-US" w:eastAsia="zh-CN" w:bidi="ar-SA"/>
        </w:rPr>
      </w:pPr>
    </w:p>
    <w:p>
      <w:pPr>
        <w:pStyle w:val="7"/>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共青团黑龙江省森林工业总局委员会</w:t>
      </w:r>
    </w:p>
    <w:p>
      <w:pPr>
        <w:pStyle w:val="7"/>
        <w:widowControl w:val="0"/>
        <w:wordWrap/>
        <w:adjustRightInd w:val="0"/>
        <w:snapToGrid w:val="0"/>
        <w:spacing w:before="0" w:beforeLines="0" w:after="0" w:afterLines="0" w:line="240" w:lineRule="auto"/>
        <w:ind w:left="0" w:leftChars="0" w:right="0" w:firstLine="0" w:firstLineChars="0"/>
        <w:jc w:val="both"/>
        <w:textAlignment w:val="auto"/>
        <w:outlineLvl w:val="9"/>
        <w:rPr>
          <w:rFonts w:hint="eastAsia" w:ascii="仿宋" w:hAnsi="仿宋" w:eastAsia="仿宋" w:cs="仿宋"/>
          <w:sz w:val="32"/>
          <w:szCs w:val="32"/>
          <w:lang w:val="en-US" w:eastAsia="zh-CN"/>
        </w:rPr>
      </w:pPr>
      <w:r>
        <w:rPr>
          <w:rFonts w:hint="eastAsia" w:ascii="仿宋_GB2312" w:eastAsia="仿宋_GB2312"/>
          <w:sz w:val="32"/>
          <w:szCs w:val="32"/>
          <w:lang w:val="en-US" w:eastAsia="zh-CN"/>
        </w:rPr>
        <w:t xml:space="preserve">                           2016</w:t>
      </w:r>
      <w:r>
        <w:rPr>
          <w:rFonts w:hint="eastAsia" w:ascii="仿宋_GB2312" w:eastAsia="仿宋_GB2312"/>
          <w:sz w:val="32"/>
          <w:szCs w:val="32"/>
        </w:rPr>
        <w:t xml:space="preserve">年 </w:t>
      </w:r>
      <w:r>
        <w:rPr>
          <w:rFonts w:hint="eastAsia" w:ascii="仿宋_GB2312" w:eastAsia="仿宋_GB2312"/>
          <w:sz w:val="32"/>
          <w:szCs w:val="32"/>
          <w:lang w:val="en-US" w:eastAsia="zh-CN"/>
        </w:rPr>
        <w:t>2</w:t>
      </w:r>
      <w:r>
        <w:rPr>
          <w:rFonts w:hint="eastAsia" w:ascii="仿宋_GB2312" w:eastAsia="仿宋_GB2312"/>
          <w:sz w:val="32"/>
          <w:szCs w:val="32"/>
        </w:rPr>
        <w:t xml:space="preserve">月 </w:t>
      </w:r>
      <w:r>
        <w:rPr>
          <w:rFonts w:hint="eastAsia" w:ascii="仿宋_GB2312" w:eastAsia="仿宋_GB2312"/>
          <w:sz w:val="32"/>
          <w:szCs w:val="32"/>
          <w:lang w:val="en-US" w:eastAsia="zh-CN"/>
        </w:rPr>
        <w:t>25</w:t>
      </w:r>
      <w:r>
        <w:rPr>
          <w:rFonts w:hint="eastAsia" w:ascii="仿宋_GB2312" w:eastAsia="仿宋_GB2312"/>
          <w:sz w:val="32"/>
          <w:szCs w:val="32"/>
        </w:rPr>
        <w:t>日</w:t>
      </w:r>
    </w:p>
    <w:p>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bl>
      <w:tblPr>
        <w:tblStyle w:val="5"/>
        <w:tblpPr w:leftFromText="180" w:rightFromText="180" w:vertAnchor="text" w:horzAnchor="page" w:tblpX="1762" w:tblpY="557"/>
        <w:tblOverlap w:val="never"/>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before="79" w:beforeLines="25" w:after="79" w:afterLines="25" w:line="300" w:lineRule="atLeast"/>
              <w:ind w:left="0" w:leftChars="0" w:right="0" w:rightChars="0" w:firstLine="0" w:firstLineChars="0"/>
              <w:jc w:val="both"/>
              <w:textAlignment w:val="auto"/>
              <w:outlineLvl w:val="9"/>
              <w:rPr>
                <w:rFonts w:hint="eastAsia" w:ascii="仿宋_GB2312" w:hAnsi="Calibri" w:eastAsia="仿宋_GB2312" w:cs="黑体"/>
                <w:kern w:val="2"/>
                <w:sz w:val="28"/>
                <w:szCs w:val="28"/>
                <w:lang w:val="en-US" w:eastAsia="zh-CN" w:bidi="ar-SA"/>
              </w:rPr>
            </w:pPr>
            <w:r>
              <w:rPr>
                <w:rFonts w:hint="eastAsia" w:ascii="仿宋_GB2312" w:eastAsia="仿宋_GB2312" w:cs="黑体"/>
                <w:kern w:val="2"/>
                <w:sz w:val="28"/>
                <w:szCs w:val="28"/>
                <w:lang w:val="en-US" w:eastAsia="zh-CN" w:bidi="ar-SA"/>
              </w:rPr>
              <w:t>共青团黑龙江省森林工业总局委员会        2016年2月25日印发</w:t>
            </w:r>
          </w:p>
        </w:tc>
      </w:tr>
    </w:tbl>
    <w:p>
      <w:pPr/>
    </w:p>
    <w:p>
      <w:pPr>
        <w:spacing w:line="460" w:lineRule="exact"/>
        <w:jc w:val="center"/>
        <w:rPr>
          <w:rFonts w:hint="eastAsia" w:ascii="宋体" w:hAnsi="宋体"/>
          <w:b/>
          <w:sz w:val="36"/>
          <w:szCs w:val="36"/>
        </w:rPr>
      </w:pPr>
    </w:p>
    <w:p>
      <w:pPr>
        <w:spacing w:line="460" w:lineRule="exact"/>
        <w:jc w:val="center"/>
        <w:rPr>
          <w:rFonts w:hint="eastAsia" w:ascii="宋体" w:hAnsi="宋体"/>
          <w:b/>
          <w:sz w:val="36"/>
          <w:szCs w:val="36"/>
        </w:rPr>
      </w:pPr>
      <w:r>
        <w:rPr>
          <w:rFonts w:hint="eastAsia" w:ascii="宋体" w:hAnsi="宋体"/>
          <w:b/>
          <w:sz w:val="36"/>
          <w:szCs w:val="36"/>
        </w:rPr>
        <w:t>2016年省少工委工作要点</w:t>
      </w:r>
    </w:p>
    <w:p>
      <w:pPr>
        <w:spacing w:line="460" w:lineRule="exact"/>
        <w:ind w:firstLine="560" w:firstLineChars="200"/>
        <w:rPr>
          <w:rFonts w:hint="eastAsia" w:ascii="仿宋" w:hAnsi="仿宋" w:eastAsia="仿宋"/>
          <w:sz w:val="28"/>
          <w:szCs w:val="28"/>
        </w:rPr>
      </w:pP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2016年省少工委主要工作思路是：牢牢把握少先队组织属性，坚持少先队组织的先进性、自主性，以少年儿童思想引导工作为主线，加强少先队自身建设，深化少先队专业化建设，全面巩固和活跃少先队工作，务实创新推动少先队改革发展。</w:t>
      </w:r>
    </w:p>
    <w:p>
      <w:pPr>
        <w:spacing w:line="440" w:lineRule="exact"/>
        <w:ind w:firstLine="560" w:firstLineChars="200"/>
        <w:rPr>
          <w:rFonts w:hint="eastAsia" w:ascii="黑体" w:hAnsi="黑体" w:eastAsia="黑体"/>
          <w:sz w:val="28"/>
          <w:szCs w:val="28"/>
        </w:rPr>
      </w:pPr>
      <w:r>
        <w:rPr>
          <w:rFonts w:hint="eastAsia" w:ascii="黑体" w:hAnsi="黑体" w:eastAsia="黑体"/>
          <w:sz w:val="28"/>
          <w:szCs w:val="28"/>
        </w:rPr>
        <w:t>一、深化少年儿童思想引导工作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深入宣传中央精神。持续深化习总书记系列重要讲话精神学习教育，深入学习宣传贯彻习总书记对少年儿童和少先队工作的一系列希望和要求，用符合少年儿童特点的内容和方式，面向不同年龄段的少年儿童开展有针对性的思想引导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深入开展少先队主题教育活动。抓住中国共产党成立95周年、长征胜利80周年等重大契机，开展党史、国史和革命传统教育。深化“红领巾相约中国梦”、“红领巾心向党”、“核心价值观记心中”和“我们是共产主义接班人”主题队日宣传教育活动，引导少先队辅导员、少先队员关注、参与“十三五”，激发少年儿童的梦想。</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开展道德实践活动。深入开展青少年“严实”品德教育活动。深入开展“我是向上向善好少年”、“争当美德小达人”、“选树最美少年”等系列主题活动；深入开展“优秀传统文化在我身边”实践体验活动和“最强国学少年”挑战赛系列活动。</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4．深化少年儿童民族团结教育。继续开展与新疆、西藏地区少年儿童“书信手拉手”活动和主题交流活动，同时挖掘活动中涌现出的感人故事和典型进行大力宣传，努力促进各族青少年感情融合及文化、思想认同。</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5. 加强少年儿童国防教育。把“少年军校”活动引向深入，组织少年儿童“走进军营”，参观军史馆，积极开展军事夏令营。结合建军节、烈士纪念日开展主题队日活动。</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6．继续开展“关注48个细节”养成教育活动。以网络、书籍等多种形式扩大推广《指导手册》，广泛开展“我的好习惯”征文、“好习惯之星”评选等活动。</w:t>
      </w:r>
    </w:p>
    <w:p>
      <w:pPr>
        <w:spacing w:line="440" w:lineRule="exact"/>
        <w:ind w:firstLine="560" w:firstLineChars="200"/>
        <w:rPr>
          <w:rFonts w:hint="eastAsia" w:ascii="黑体" w:hAnsi="黑体" w:eastAsia="黑体"/>
          <w:sz w:val="28"/>
          <w:szCs w:val="28"/>
        </w:rPr>
      </w:pPr>
      <w:r>
        <w:rPr>
          <w:rFonts w:hint="eastAsia" w:ascii="黑体" w:hAnsi="黑体" w:eastAsia="黑体"/>
          <w:sz w:val="28"/>
          <w:szCs w:val="28"/>
        </w:rPr>
        <w:t>二、深化少先队专业化建设。</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7.加强少先队活动课程体系建设。继续督导推动各市（地）将每周1课时少先队活动课落实到中小学课表和实际的教育教学实践中，同时，以少先队活动课为牵动，拓展少先队课内外、校内外活动。鼓励一纲多本，研发配套资源、征集案例、编写或修订少先队活动课程教材。</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8.加强少先队辅导员专业化建设。继续推动少先队辅导员职称评定“双线晋升”，加强少先队名辅导员工作室建设，推进少先队辅导员省、市、县分级培训，全年拟开展省级培训2场，拟在5月份举办全省第七届少先队辅导员技能风采大赛。</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9.加强少先队学科建设和理论研究。推进哈尔滨师范大学二级学科建设，做好在职研究生招生培养工作。持续开展全省少年儿童和少先队工作重点课题研究，形成精品课程和教材。</w:t>
      </w:r>
    </w:p>
    <w:p>
      <w:pPr>
        <w:spacing w:line="440" w:lineRule="exact"/>
        <w:ind w:firstLine="560" w:firstLineChars="200"/>
        <w:rPr>
          <w:rFonts w:hint="eastAsia" w:ascii="黑体" w:hAnsi="黑体" w:eastAsia="黑体"/>
          <w:sz w:val="28"/>
          <w:szCs w:val="28"/>
        </w:rPr>
      </w:pPr>
      <w:r>
        <w:rPr>
          <w:rFonts w:hint="eastAsia" w:ascii="黑体" w:hAnsi="黑体" w:eastAsia="黑体"/>
          <w:sz w:val="28"/>
          <w:szCs w:val="28"/>
        </w:rPr>
        <w:t>三、加强少先队组织自身建设。</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10.做好我省第七次少代会换届工作。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11.继续做好各市（地）落实《中共黑龙江省委关于进一步加强少年儿童和少先队工作的意见》政策督导工作。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12.研究加强农村少先队工作。开展农村少先队工作调研，了解情况、摸清底数、发现问题、提出对策，整合社会资源，面向农村地区、贫困地区和农民工子女集中的学校开展精准扶贫帮困工作，做好关爱农村留守儿童和进城务工人员随迁子女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13.加强初中少先队工作。规范和加强初中少先队组织建设，加强团队衔接，抓好团前教育，做好少先队员推优入团工作。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14.加强社区和校外少先队工作。加强校外少先队工作与家庭教育的有机结合，探索建设社区和校外少先队工作重点试验区。</w:t>
      </w:r>
    </w:p>
    <w:p>
      <w:pPr>
        <w:spacing w:line="440" w:lineRule="exact"/>
        <w:ind w:firstLine="560" w:firstLineChars="200"/>
        <w:rPr>
          <w:rFonts w:hint="eastAsia" w:ascii="黑体" w:hAnsi="黑体" w:eastAsia="黑体"/>
          <w:sz w:val="28"/>
          <w:szCs w:val="28"/>
        </w:rPr>
      </w:pPr>
      <w:r>
        <w:rPr>
          <w:rFonts w:hint="eastAsia" w:ascii="黑体" w:hAnsi="黑体" w:eastAsia="黑体"/>
          <w:sz w:val="28"/>
          <w:szCs w:val="28"/>
        </w:rPr>
        <w:t>四、其他方面工作</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15.探索实施“智慧队建”。依托“智慧团建”探索“智慧队建”，做好少先队有关“青年之声”工作，探索建立假日和校外活动服务联盟，把网上答疑解惑与线下服务结合起来，整合团内外资源服务少年儿童实际需求，实现少先队传统媒体和新媒体融合发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16.继续做好少先队辅导员网络文明志愿者队伍建设工作。组织动员少先队“网军”做好网络宣传员和评论员，主动发声，敢于开展舆论斗争。</w:t>
      </w:r>
    </w:p>
    <w:p>
      <w:pPr/>
    </w:p>
    <w:p>
      <w:pPr/>
    </w:p>
    <w:sectPr>
      <w:pgSz w:w="11906" w:h="16838"/>
      <w:pgMar w:top="138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450D9"/>
    <w:rsid w:val="17A450D9"/>
    <w:rsid w:val="3FFA409C"/>
    <w:rsid w:val="571E720A"/>
    <w:rsid w:val="76EA27EF"/>
    <w:rsid w:val="7EF00D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2016-02-25T01:22:00Z</dcterms:created>
  <dc:creator>sunrongyang</dc:creator>
  <cp:lastModifiedBy>sunrongyang</cp:lastModifiedBy>
  <cp:lastPrinted>2016-02-25T01:45:00Z</cp:lastPrinted>
  <dcterms:modified xsi:type="dcterms:W3CDTF">2016-02-25T02:06:04Z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